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53" w:type="dxa"/>
        <w:tblInd w:w="52" w:type="dxa"/>
        <w:tblLayout w:type="fixed"/>
        <w:tblLook w:val="0000"/>
      </w:tblPr>
      <w:tblGrid>
        <w:gridCol w:w="5159"/>
        <w:gridCol w:w="4394"/>
      </w:tblGrid>
      <w:tr w:rsidR="00334DE8" w:rsidRPr="00BE31A4" w:rsidTr="00994E6E">
        <w:trPr>
          <w:trHeight w:val="2340"/>
        </w:trPr>
        <w:tc>
          <w:tcPr>
            <w:tcW w:w="5159" w:type="dxa"/>
          </w:tcPr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4DE8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4DE8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34DE8">
              <w:rPr>
                <w:rFonts w:ascii="Times New Roman" w:hAnsi="Times New Roman"/>
                <w:szCs w:val="20"/>
              </w:rPr>
              <w:t>АДМИНИСТРАЦИЯ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34DE8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334DE8" w:rsidRPr="00334DE8" w:rsidRDefault="00334DE8" w:rsidP="00334DE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20"/>
              </w:rPr>
            </w:pPr>
            <w:r w:rsidRPr="00334DE8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334DE8" w:rsidRPr="008F3469" w:rsidRDefault="00334DE8" w:rsidP="00994E6E">
            <w:pPr>
              <w:spacing w:line="240" w:lineRule="auto"/>
              <w:jc w:val="center"/>
              <w:rPr>
                <w:color w:val="FF0000"/>
                <w:sz w:val="28"/>
                <w:szCs w:val="20"/>
              </w:rPr>
            </w:pPr>
          </w:p>
        </w:tc>
      </w:tr>
      <w:tr w:rsidR="00334DE8" w:rsidRPr="00BE31A4" w:rsidTr="00994E6E">
        <w:trPr>
          <w:trHeight w:val="365"/>
        </w:trPr>
        <w:tc>
          <w:tcPr>
            <w:tcW w:w="5159" w:type="dxa"/>
          </w:tcPr>
          <w:p w:rsid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от </w:t>
            </w:r>
            <w:r w:rsidR="00253E21">
              <w:rPr>
                <w:rFonts w:ascii="Times New Roman" w:hAnsi="Times New Roman"/>
                <w:sz w:val="28"/>
                <w:szCs w:val="20"/>
              </w:rPr>
              <w:t>28.03.2024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г. № </w:t>
            </w:r>
            <w:r w:rsidR="00253E21">
              <w:rPr>
                <w:rFonts w:ascii="Times New Roman" w:hAnsi="Times New Roman"/>
                <w:sz w:val="28"/>
                <w:szCs w:val="20"/>
              </w:rPr>
              <w:t>819</w:t>
            </w:r>
          </w:p>
          <w:p w:rsidR="00334DE8" w:rsidRPr="00334DE8" w:rsidRDefault="00334DE8" w:rsidP="0033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  <w:vMerge/>
          </w:tcPr>
          <w:p w:rsidR="00334DE8" w:rsidRPr="00BE31A4" w:rsidRDefault="00334DE8" w:rsidP="00994E6E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334DE8" w:rsidRPr="00BE31A4" w:rsidTr="00994E6E">
        <w:trPr>
          <w:gridAfter w:val="1"/>
          <w:wAfter w:w="4394" w:type="dxa"/>
          <w:trHeight w:val="600"/>
        </w:trPr>
        <w:tc>
          <w:tcPr>
            <w:tcW w:w="5159" w:type="dxa"/>
          </w:tcPr>
          <w:p w:rsidR="00334DE8" w:rsidRPr="00334DE8" w:rsidRDefault="00334DE8" w:rsidP="00334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34DE8">
              <w:rPr>
                <w:rFonts w:ascii="Times New Roman" w:hAnsi="Times New Roman"/>
                <w:sz w:val="28"/>
                <w:szCs w:val="26"/>
              </w:rPr>
              <w:t>Об утверждении отчета об исполнении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за 2023 год, утвержденной постановлением администрации городского округа Кинель Самарской области от 31 декабря 2019 года № 3822 (в редакции от 29 декабря 2023 года)</w:t>
            </w:r>
          </w:p>
        </w:tc>
      </w:tr>
      <w:tr w:rsidR="00334DE8" w:rsidRPr="00BE31A4" w:rsidTr="00994E6E">
        <w:trPr>
          <w:gridAfter w:val="1"/>
          <w:wAfter w:w="4394" w:type="dxa"/>
          <w:trHeight w:val="301"/>
        </w:trPr>
        <w:tc>
          <w:tcPr>
            <w:tcW w:w="5159" w:type="dxa"/>
          </w:tcPr>
          <w:p w:rsidR="00334DE8" w:rsidRPr="00334DE8" w:rsidRDefault="00334DE8" w:rsidP="00994E6E">
            <w:pPr>
              <w:spacing w:line="240" w:lineRule="auto"/>
              <w:rPr>
                <w:sz w:val="16"/>
              </w:rPr>
            </w:pPr>
          </w:p>
        </w:tc>
      </w:tr>
    </w:tbl>
    <w:p w:rsidR="00334DE8" w:rsidRPr="00334DE8" w:rsidRDefault="00334DE8" w:rsidP="00334D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DE8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городского округа Кинель Самарской области от 7 марта 2014 года № 710 «</w:t>
      </w:r>
      <w:r w:rsidRPr="00334DE8">
        <w:rPr>
          <w:rFonts w:ascii="Times New Roman" w:hAnsi="Times New Roman"/>
          <w:sz w:val="28"/>
        </w:rPr>
        <w:t>Об утверждении Порядка принятия решений о разработке, формирования и реализации, оценки эффективности реализации муниципальных программ городского  округа Кинель</w:t>
      </w:r>
      <w:r w:rsidRPr="00334DE8">
        <w:rPr>
          <w:rFonts w:ascii="Times New Roman" w:hAnsi="Times New Roman"/>
          <w:sz w:val="28"/>
          <w:szCs w:val="28"/>
        </w:rPr>
        <w:t>» (в редакции от 27 декабря 2021 года № 3766)</w:t>
      </w:r>
      <w:r>
        <w:rPr>
          <w:rFonts w:ascii="Times New Roman" w:hAnsi="Times New Roman"/>
          <w:sz w:val="28"/>
          <w:szCs w:val="28"/>
        </w:rPr>
        <w:t>,</w:t>
      </w:r>
    </w:p>
    <w:p w:rsidR="00334DE8" w:rsidRPr="00334DE8" w:rsidRDefault="00334DE8" w:rsidP="00334DE8">
      <w:pPr>
        <w:pStyle w:val="2"/>
        <w:tabs>
          <w:tab w:val="left" w:pos="6804"/>
        </w:tabs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334DE8">
        <w:rPr>
          <w:caps/>
          <w:spacing w:val="60"/>
        </w:rPr>
        <w:t>Постановляю:</w:t>
      </w:r>
    </w:p>
    <w:p w:rsidR="00334DE8" w:rsidRPr="00334DE8" w:rsidRDefault="00334DE8" w:rsidP="00334DE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DE8">
        <w:rPr>
          <w:rFonts w:ascii="Times New Roman" w:hAnsi="Times New Roman" w:cs="Times New Roman"/>
          <w:sz w:val="28"/>
          <w:szCs w:val="26"/>
        </w:rPr>
        <w:t xml:space="preserve">1. </w:t>
      </w:r>
      <w:r w:rsidRPr="00334DE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</w:t>
      </w:r>
      <w:r w:rsidRPr="00334DE8">
        <w:rPr>
          <w:rFonts w:ascii="Times New Roman" w:eastAsia="Times New Roman" w:hAnsi="Times New Roman" w:cs="Times New Roman"/>
          <w:sz w:val="28"/>
          <w:szCs w:val="28"/>
        </w:rPr>
        <w:t>2020-2024</w:t>
      </w:r>
      <w:r w:rsidRPr="00334DE8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администрации городского округа Кинель Самарской области от 31 декабря 2019 года № 3822 (в редакции от 29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4DE8">
        <w:rPr>
          <w:rFonts w:ascii="Times New Roman" w:hAnsi="Times New Roman" w:cs="Times New Roman"/>
          <w:sz w:val="28"/>
          <w:szCs w:val="28"/>
        </w:rPr>
        <w:t xml:space="preserve"> года) за 2023 год согласно Приложению к настоящему постановлению.</w:t>
      </w:r>
    </w:p>
    <w:bookmarkEnd w:id="0"/>
    <w:p w:rsidR="00334DE8" w:rsidRPr="00334DE8" w:rsidRDefault="00334DE8" w:rsidP="00334DE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DE8">
        <w:rPr>
          <w:rFonts w:ascii="Times New Roman" w:hAnsi="Times New Roman" w:cs="Times New Roman"/>
          <w:sz w:val="28"/>
          <w:szCs w:val="28"/>
        </w:rPr>
        <w:t xml:space="preserve">2. Продолжить реализацию муниципальной программы городского округа Кинель Самарской области «Профилактика терроризма и экстремизма, </w:t>
      </w:r>
      <w:r w:rsidRPr="00334DE8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минимизация последствий проявлений терроризма и экстремизма в границах городского округа Кинель Самарской области на </w:t>
      </w:r>
      <w:r w:rsidRPr="00334DE8">
        <w:rPr>
          <w:rFonts w:ascii="Times New Roman" w:eastAsia="Times New Roman" w:hAnsi="Times New Roman" w:cs="Times New Roman"/>
          <w:sz w:val="28"/>
          <w:szCs w:val="28"/>
        </w:rPr>
        <w:t>2020-2024</w:t>
      </w:r>
      <w:r w:rsidRPr="00334DE8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334DE8" w:rsidRPr="00334DE8" w:rsidRDefault="00334DE8" w:rsidP="00334D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DE8">
        <w:rPr>
          <w:rFonts w:ascii="Times New Roman" w:hAnsi="Times New Roman"/>
          <w:sz w:val="28"/>
          <w:szCs w:val="28"/>
        </w:rPr>
        <w:t>3. Разместить настоящее постановление в информационно-телекоммуникационной сети «Интернет» на официальном сайте администрации городского округа Кинель Самарской области (кинельгород.рф) в подразделе «Муниципальные программы и проекты» раздела «Информация».</w:t>
      </w:r>
    </w:p>
    <w:p w:rsidR="00334DE8" w:rsidRPr="00334DE8" w:rsidRDefault="00334DE8" w:rsidP="00334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4DE8" w:rsidRPr="00334DE8" w:rsidRDefault="00334DE8" w:rsidP="00334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4DE8" w:rsidRPr="00334DE8" w:rsidRDefault="00334DE8" w:rsidP="00334D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DE8">
        <w:rPr>
          <w:rFonts w:ascii="Times New Roman" w:hAnsi="Times New Roman"/>
          <w:sz w:val="28"/>
          <w:szCs w:val="28"/>
        </w:rPr>
        <w:t>Глава городского округа</w:t>
      </w:r>
      <w:r w:rsidRPr="00334DE8">
        <w:rPr>
          <w:rFonts w:ascii="Times New Roman" w:hAnsi="Times New Roman"/>
          <w:sz w:val="28"/>
          <w:szCs w:val="28"/>
        </w:rPr>
        <w:tab/>
      </w:r>
      <w:r w:rsidRPr="00334DE8">
        <w:rPr>
          <w:rFonts w:ascii="Times New Roman" w:hAnsi="Times New Roman"/>
          <w:sz w:val="28"/>
          <w:szCs w:val="28"/>
        </w:rPr>
        <w:tab/>
      </w:r>
      <w:r w:rsidRPr="00334DE8">
        <w:rPr>
          <w:rFonts w:ascii="Times New Roman" w:hAnsi="Times New Roman"/>
          <w:sz w:val="28"/>
          <w:szCs w:val="28"/>
        </w:rPr>
        <w:tab/>
      </w:r>
      <w:r w:rsidRPr="00334DE8">
        <w:rPr>
          <w:rFonts w:ascii="Times New Roman" w:hAnsi="Times New Roman"/>
          <w:sz w:val="28"/>
          <w:szCs w:val="28"/>
        </w:rPr>
        <w:tab/>
      </w:r>
      <w:r w:rsidRPr="00334DE8">
        <w:rPr>
          <w:rFonts w:ascii="Times New Roman" w:hAnsi="Times New Roman"/>
          <w:sz w:val="28"/>
          <w:szCs w:val="28"/>
        </w:rPr>
        <w:tab/>
      </w:r>
      <w:r w:rsidRPr="00334DE8">
        <w:rPr>
          <w:rFonts w:ascii="Times New Roman" w:hAnsi="Times New Roman"/>
          <w:sz w:val="28"/>
          <w:szCs w:val="28"/>
        </w:rPr>
        <w:tab/>
        <w:t xml:space="preserve">              А.А. Прокудин</w:t>
      </w:r>
    </w:p>
    <w:p w:rsidR="00334DE8" w:rsidRPr="00334DE8" w:rsidRDefault="00334DE8" w:rsidP="00334DE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34DE8" w:rsidRPr="00334DE8" w:rsidRDefault="00334DE8" w:rsidP="00334DE8">
      <w:pPr>
        <w:spacing w:after="0" w:line="36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Default="00334DE8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334DE8" w:rsidRPr="00334DE8" w:rsidRDefault="00334DE8" w:rsidP="00334DE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334DE8">
        <w:rPr>
          <w:rFonts w:ascii="Times New Roman" w:hAnsi="Times New Roman"/>
          <w:sz w:val="28"/>
          <w:szCs w:val="26"/>
        </w:rPr>
        <w:t>Слезко 8(84663)21557</w:t>
      </w:r>
    </w:p>
    <w:tbl>
      <w:tblPr>
        <w:tblW w:w="9464" w:type="dxa"/>
        <w:tblLook w:val="04A0"/>
      </w:tblPr>
      <w:tblGrid>
        <w:gridCol w:w="4644"/>
        <w:gridCol w:w="4820"/>
      </w:tblGrid>
      <w:tr w:rsidR="00334DE8" w:rsidRPr="00CF6DDF" w:rsidTr="00994E6E">
        <w:tc>
          <w:tcPr>
            <w:tcW w:w="4644" w:type="dxa"/>
          </w:tcPr>
          <w:p w:rsidR="00334DE8" w:rsidRPr="003F146C" w:rsidRDefault="00334DE8" w:rsidP="00994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4DE8" w:rsidRPr="00BD3A63" w:rsidRDefault="00334DE8" w:rsidP="00994E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34DE8" w:rsidRPr="00BD3A63" w:rsidRDefault="00334DE8" w:rsidP="00994E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34DE8" w:rsidRDefault="00334DE8" w:rsidP="00994E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</w:t>
            </w:r>
          </w:p>
          <w:p w:rsidR="00334DE8" w:rsidRPr="00BD3A63" w:rsidRDefault="00334DE8" w:rsidP="00994E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334DE8" w:rsidRPr="00BD3A63" w:rsidRDefault="00253E21" w:rsidP="00994E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от 28.03.2024 г. № 819</w:t>
            </w:r>
          </w:p>
          <w:p w:rsidR="00334DE8" w:rsidRPr="00CF6DDF" w:rsidRDefault="00334DE8" w:rsidP="00994E6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801" w:rsidRDefault="005D6801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0A237B">
        <w:rPr>
          <w:rFonts w:ascii="Times New Roman" w:hAnsi="Times New Roman"/>
          <w:b/>
          <w:sz w:val="28"/>
          <w:szCs w:val="26"/>
        </w:rPr>
        <w:t xml:space="preserve">Отчет </w:t>
      </w:r>
    </w:p>
    <w:p w:rsidR="005D6801" w:rsidRPr="000A237B" w:rsidRDefault="005D6801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0A237B">
        <w:rPr>
          <w:rFonts w:ascii="Times New Roman" w:hAnsi="Times New Roman"/>
          <w:b/>
          <w:sz w:val="28"/>
          <w:szCs w:val="26"/>
        </w:rPr>
        <w:t xml:space="preserve">об исполнении муниципальной программы </w:t>
      </w:r>
    </w:p>
    <w:p w:rsidR="005D6801" w:rsidRDefault="005D6801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0A237B">
        <w:rPr>
          <w:rFonts w:ascii="Times New Roman" w:hAnsi="Times New Roman"/>
          <w:b/>
          <w:sz w:val="28"/>
          <w:szCs w:val="26"/>
        </w:rPr>
        <w:t>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за 202</w:t>
      </w:r>
      <w:r>
        <w:rPr>
          <w:rFonts w:ascii="Times New Roman" w:hAnsi="Times New Roman"/>
          <w:b/>
          <w:sz w:val="28"/>
          <w:szCs w:val="26"/>
        </w:rPr>
        <w:t xml:space="preserve">3 </w:t>
      </w:r>
      <w:r w:rsidRPr="000A237B">
        <w:rPr>
          <w:rFonts w:ascii="Times New Roman" w:hAnsi="Times New Roman"/>
          <w:b/>
          <w:sz w:val="28"/>
          <w:szCs w:val="26"/>
        </w:rPr>
        <w:t>год</w:t>
      </w:r>
    </w:p>
    <w:p w:rsidR="005D6801" w:rsidRPr="000A237B" w:rsidRDefault="005D6801" w:rsidP="005D680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D6801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>1.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Наименование муниципальной программы (подпрограммы, входящей в состав муниципальной программы)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Муниципальная программа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</w:t>
      </w:r>
      <w:r>
        <w:rPr>
          <w:rFonts w:ascii="Times New Roman" w:hAnsi="Times New Roman" w:cs="Times New Roman"/>
          <w:sz w:val="28"/>
          <w:szCs w:val="26"/>
        </w:rPr>
        <w:t>бласти на 2020-2024 годы»</w:t>
      </w:r>
      <w:r w:rsidRPr="000A237B">
        <w:rPr>
          <w:rFonts w:ascii="Times New Roman" w:hAnsi="Times New Roman" w:cs="Times New Roman"/>
          <w:sz w:val="28"/>
          <w:szCs w:val="26"/>
        </w:rPr>
        <w:t xml:space="preserve"> утверждена постановлением администрации городского округа Кинель </w:t>
      </w:r>
      <w:r>
        <w:rPr>
          <w:rFonts w:ascii="Times New Roman" w:hAnsi="Times New Roman" w:cs="Times New Roman"/>
          <w:sz w:val="28"/>
          <w:szCs w:val="26"/>
        </w:rPr>
        <w:t xml:space="preserve">Самарской области </w:t>
      </w:r>
      <w:r w:rsidRPr="000A237B">
        <w:rPr>
          <w:rFonts w:ascii="Times New Roman" w:hAnsi="Times New Roman" w:cs="Times New Roman"/>
          <w:sz w:val="28"/>
          <w:szCs w:val="26"/>
        </w:rPr>
        <w:t>от 31</w:t>
      </w:r>
      <w:r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0A237B">
        <w:rPr>
          <w:rFonts w:ascii="Times New Roman" w:hAnsi="Times New Roman" w:cs="Times New Roman"/>
          <w:sz w:val="28"/>
          <w:szCs w:val="26"/>
        </w:rPr>
        <w:t xml:space="preserve">2019 </w:t>
      </w:r>
      <w:r>
        <w:rPr>
          <w:rFonts w:ascii="Times New Roman" w:hAnsi="Times New Roman" w:cs="Times New Roman"/>
          <w:sz w:val="28"/>
          <w:szCs w:val="26"/>
        </w:rPr>
        <w:t>года</w:t>
      </w:r>
      <w:r w:rsidRPr="000A237B">
        <w:rPr>
          <w:rFonts w:ascii="Times New Roman" w:hAnsi="Times New Roman" w:cs="Times New Roman"/>
          <w:sz w:val="28"/>
          <w:szCs w:val="26"/>
        </w:rPr>
        <w:t xml:space="preserve"> № 3822 (в редакции от </w:t>
      </w:r>
      <w:r>
        <w:rPr>
          <w:rFonts w:ascii="Times New Roman" w:hAnsi="Times New Roman" w:cs="Times New Roman"/>
          <w:sz w:val="28"/>
          <w:szCs w:val="26"/>
        </w:rPr>
        <w:t>29 декабря 2023</w:t>
      </w:r>
      <w:r w:rsidRPr="000A237B">
        <w:rPr>
          <w:rFonts w:ascii="Times New Roman" w:hAnsi="Times New Roman" w:cs="Times New Roman"/>
          <w:sz w:val="28"/>
          <w:szCs w:val="26"/>
        </w:rPr>
        <w:t xml:space="preserve"> г</w:t>
      </w:r>
      <w:r>
        <w:rPr>
          <w:rFonts w:ascii="Times New Roman" w:hAnsi="Times New Roman" w:cs="Times New Roman"/>
          <w:sz w:val="28"/>
          <w:szCs w:val="26"/>
        </w:rPr>
        <w:t>ода</w:t>
      </w:r>
      <w:r w:rsidRPr="000A237B">
        <w:rPr>
          <w:rFonts w:ascii="Times New Roman" w:hAnsi="Times New Roman" w:cs="Times New Roman"/>
          <w:sz w:val="28"/>
          <w:szCs w:val="26"/>
        </w:rPr>
        <w:t>) далее - Программа.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>2.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Цели и задачи муниципальной программы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(подпрограммы, входящей в состав муниципальной программы):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Основной целью П</w:t>
      </w:r>
      <w:r>
        <w:rPr>
          <w:rFonts w:ascii="Times New Roman" w:hAnsi="Times New Roman" w:cs="Times New Roman"/>
          <w:sz w:val="28"/>
          <w:szCs w:val="26"/>
        </w:rPr>
        <w:t xml:space="preserve">рограммы является </w:t>
      </w:r>
      <w:r w:rsidRPr="000A237B">
        <w:rPr>
          <w:rFonts w:ascii="Times New Roman" w:hAnsi="Times New Roman" w:cs="Times New Roman"/>
          <w:sz w:val="28"/>
          <w:szCs w:val="26"/>
        </w:rPr>
        <w:t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путем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</w:t>
      </w:r>
      <w:r>
        <w:rPr>
          <w:rFonts w:ascii="Times New Roman" w:hAnsi="Times New Roman" w:cs="Times New Roman"/>
          <w:sz w:val="28"/>
          <w:szCs w:val="26"/>
        </w:rPr>
        <w:t xml:space="preserve"> Кинель Самарской области</w:t>
      </w:r>
      <w:r w:rsidRPr="000A237B">
        <w:rPr>
          <w:rFonts w:ascii="Times New Roman" w:hAnsi="Times New Roman" w:cs="Times New Roman"/>
          <w:sz w:val="28"/>
          <w:szCs w:val="26"/>
        </w:rPr>
        <w:t>.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Для достижения указанной цели намечена реализация следующих задач: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0A237B">
        <w:rPr>
          <w:rFonts w:ascii="Times New Roman" w:hAnsi="Times New Roman" w:cs="Times New Roman"/>
          <w:sz w:val="28"/>
          <w:szCs w:val="26"/>
        </w:rPr>
        <w:t xml:space="preserve">обеспечение антитеррористической защищенности и безопасности функционирования объектов </w:t>
      </w:r>
      <w:r>
        <w:rPr>
          <w:rFonts w:ascii="Times New Roman" w:hAnsi="Times New Roman" w:cs="Times New Roman"/>
          <w:sz w:val="28"/>
          <w:szCs w:val="26"/>
        </w:rPr>
        <w:t xml:space="preserve">и мест массового пребывания людей </w:t>
      </w:r>
      <w:r w:rsidRPr="000A237B">
        <w:rPr>
          <w:rFonts w:ascii="Times New Roman" w:hAnsi="Times New Roman" w:cs="Times New Roman"/>
          <w:sz w:val="28"/>
          <w:szCs w:val="26"/>
        </w:rPr>
        <w:t xml:space="preserve">на территории городского округа; 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- обеспечение информирования населения о действиях при угрозе или совершении террористических актов и противодействи</w:t>
      </w:r>
      <w:r>
        <w:rPr>
          <w:rFonts w:ascii="Times New Roman" w:hAnsi="Times New Roman" w:cs="Times New Roman"/>
          <w:sz w:val="28"/>
          <w:szCs w:val="26"/>
        </w:rPr>
        <w:t>я</w:t>
      </w:r>
      <w:r w:rsidRPr="000A237B">
        <w:rPr>
          <w:rFonts w:ascii="Times New Roman" w:hAnsi="Times New Roman" w:cs="Times New Roman"/>
          <w:sz w:val="28"/>
          <w:szCs w:val="26"/>
        </w:rPr>
        <w:t xml:space="preserve"> терроризму.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 xml:space="preserve">3. Информация об изменениях, внесенных в муниципальную программу: 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Постановление администрации городского округа Кинель Самарской области от 31</w:t>
      </w:r>
      <w:r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0A237B">
        <w:rPr>
          <w:rFonts w:ascii="Times New Roman" w:hAnsi="Times New Roman" w:cs="Times New Roman"/>
          <w:sz w:val="28"/>
          <w:szCs w:val="26"/>
        </w:rPr>
        <w:t>2019 г</w:t>
      </w:r>
      <w:r>
        <w:rPr>
          <w:rFonts w:ascii="Times New Roman" w:hAnsi="Times New Roman" w:cs="Times New Roman"/>
          <w:sz w:val="28"/>
          <w:szCs w:val="26"/>
        </w:rPr>
        <w:t>ода</w:t>
      </w:r>
      <w:r w:rsidRPr="000A237B">
        <w:rPr>
          <w:rFonts w:ascii="Times New Roman" w:hAnsi="Times New Roman" w:cs="Times New Roman"/>
          <w:sz w:val="28"/>
          <w:szCs w:val="26"/>
        </w:rPr>
        <w:t xml:space="preserve"> № 3822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0A237B">
        <w:rPr>
          <w:rFonts w:ascii="Times New Roman" w:hAnsi="Times New Roman" w:cs="Times New Roman"/>
          <w:sz w:val="28"/>
          <w:szCs w:val="26"/>
        </w:rPr>
        <w:t xml:space="preserve"> годы» в редакции от 18.01.2021 г. № 58</w:t>
      </w:r>
      <w:r>
        <w:rPr>
          <w:rFonts w:ascii="Times New Roman" w:hAnsi="Times New Roman" w:cs="Times New Roman"/>
          <w:sz w:val="28"/>
          <w:szCs w:val="26"/>
        </w:rPr>
        <w:t xml:space="preserve">, от 19.04.2021 г. № 1124, 06.09.2021 г. № 2523, от </w:t>
      </w:r>
      <w:r>
        <w:rPr>
          <w:rFonts w:ascii="Times New Roman" w:hAnsi="Times New Roman" w:cs="Times New Roman"/>
          <w:sz w:val="28"/>
          <w:szCs w:val="26"/>
        </w:rPr>
        <w:lastRenderedPageBreak/>
        <w:t>29.12.2021 г. № 3792, от 01.02.2022 г. № 186, от 23.03.2022 г. № 704, от 24.10.2022 г. № 3117, от 13.02.2023 г. № 335, от 29.12.2023 г. № 3790.</w:t>
      </w:r>
    </w:p>
    <w:p w:rsidR="005D6801" w:rsidRPr="00BA7A08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t>4. Оценка результативности и эффективности реализации муниципальной программы (подпрограммы, входящей в состав муниципальной программы):</w:t>
      </w:r>
    </w:p>
    <w:p w:rsidR="005D6801" w:rsidRPr="00BA7A08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t>4.1. Конкретные результаты,  достигнут</w:t>
      </w:r>
      <w:r>
        <w:rPr>
          <w:rFonts w:ascii="Times New Roman" w:hAnsi="Times New Roman" w:cs="Times New Roman"/>
          <w:b/>
          <w:i/>
          <w:sz w:val="28"/>
          <w:szCs w:val="26"/>
        </w:rPr>
        <w:t>ые за отчетный период</w:t>
      </w:r>
    </w:p>
    <w:p w:rsidR="005D6801" w:rsidRPr="000A237B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 отчетный</w:t>
      </w:r>
      <w:r w:rsidRPr="000A237B">
        <w:rPr>
          <w:rFonts w:ascii="Times New Roman" w:hAnsi="Times New Roman" w:cs="Times New Roman"/>
          <w:sz w:val="28"/>
          <w:szCs w:val="26"/>
        </w:rPr>
        <w:t xml:space="preserve"> период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0A237B">
        <w:rPr>
          <w:rFonts w:ascii="Times New Roman" w:hAnsi="Times New Roman" w:cs="Times New Roman"/>
          <w:sz w:val="28"/>
          <w:szCs w:val="26"/>
        </w:rPr>
        <w:t xml:space="preserve"> года</w:t>
      </w:r>
      <w:r>
        <w:rPr>
          <w:rFonts w:ascii="Times New Roman" w:hAnsi="Times New Roman" w:cs="Times New Roman"/>
          <w:sz w:val="28"/>
          <w:szCs w:val="26"/>
        </w:rPr>
        <w:t xml:space="preserve"> в рамках реализации</w:t>
      </w:r>
      <w:r w:rsidRPr="000A237B">
        <w:rPr>
          <w:rFonts w:ascii="Times New Roman" w:hAnsi="Times New Roman" w:cs="Times New Roman"/>
          <w:sz w:val="28"/>
          <w:szCs w:val="26"/>
        </w:rPr>
        <w:t xml:space="preserve"> меропр</w:t>
      </w:r>
      <w:r>
        <w:rPr>
          <w:rFonts w:ascii="Times New Roman" w:hAnsi="Times New Roman" w:cs="Times New Roman"/>
          <w:sz w:val="28"/>
          <w:szCs w:val="26"/>
        </w:rPr>
        <w:t>иятий</w:t>
      </w:r>
      <w:r w:rsidRPr="000A237B">
        <w:rPr>
          <w:rFonts w:ascii="Times New Roman" w:hAnsi="Times New Roman" w:cs="Times New Roman"/>
          <w:sz w:val="28"/>
          <w:szCs w:val="26"/>
        </w:rPr>
        <w:t xml:space="preserve"> муници</w:t>
      </w:r>
      <w:r>
        <w:rPr>
          <w:rFonts w:ascii="Times New Roman" w:hAnsi="Times New Roman" w:cs="Times New Roman"/>
          <w:sz w:val="28"/>
          <w:szCs w:val="26"/>
        </w:rPr>
        <w:t xml:space="preserve">пальной </w:t>
      </w:r>
      <w:r w:rsidRPr="000A237B">
        <w:rPr>
          <w:rFonts w:ascii="Times New Roman" w:hAnsi="Times New Roman" w:cs="Times New Roman"/>
          <w:sz w:val="28"/>
          <w:szCs w:val="26"/>
        </w:rPr>
        <w:t>программы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0A237B">
        <w:rPr>
          <w:rFonts w:ascii="Times New Roman" w:hAnsi="Times New Roman" w:cs="Times New Roman"/>
          <w:sz w:val="28"/>
          <w:szCs w:val="26"/>
        </w:rPr>
        <w:t xml:space="preserve"> годы» были выполнены следующие мероприятия:</w:t>
      </w:r>
    </w:p>
    <w:p w:rsidR="005D6801" w:rsidRPr="00B80E54" w:rsidRDefault="005D6801" w:rsidP="005D68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E5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B80E54">
        <w:rPr>
          <w:rFonts w:ascii="Times New Roman" w:hAnsi="Times New Roman"/>
          <w:sz w:val="28"/>
          <w:szCs w:val="28"/>
        </w:rPr>
        <w:t>риобретено 35 мобильных металлических барьеров для обеспечения безопасности при проведении массовых мероприятий.</w:t>
      </w:r>
    </w:p>
    <w:p w:rsidR="005D6801" w:rsidRPr="00BA7A08" w:rsidRDefault="005D6801" w:rsidP="005D680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t>4.2. Результаты достижения значений показателей (индикаторов) муниципальной программы (подпрограммы, входящей в состав муниципальной программы) (по форме, представленной в таблице 1):</w:t>
      </w:r>
    </w:p>
    <w:p w:rsidR="005D6801" w:rsidRPr="00A60A5C" w:rsidRDefault="005D6801" w:rsidP="005D6801">
      <w:pPr>
        <w:pStyle w:val="ac"/>
        <w:spacing w:line="276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60A5C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21"/>
        <w:gridCol w:w="567"/>
        <w:gridCol w:w="851"/>
        <w:gridCol w:w="992"/>
        <w:gridCol w:w="992"/>
        <w:gridCol w:w="2126"/>
      </w:tblGrid>
      <w:tr w:rsidR="005D6801" w:rsidRPr="00737E7A" w:rsidTr="00D84A7F">
        <w:trPr>
          <w:trHeight w:val="556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Степень достижения целевых индикаторов, %</w:t>
            </w:r>
          </w:p>
        </w:tc>
        <w:tc>
          <w:tcPr>
            <w:tcW w:w="2126" w:type="dxa"/>
            <w:vMerge w:val="restart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D6801" w:rsidRPr="00737E7A" w:rsidTr="00D84A7F">
        <w:trPr>
          <w:trHeight w:val="1886"/>
        </w:trPr>
        <w:tc>
          <w:tcPr>
            <w:tcW w:w="595" w:type="dxa"/>
            <w:vMerge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Плановые значения по Программе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6801" w:rsidRPr="00147FC8" w:rsidRDefault="005D6801" w:rsidP="00D84A7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992" w:type="dxa"/>
            <w:vMerge/>
            <w:vAlign w:val="center"/>
            <w:hideMark/>
          </w:tcPr>
          <w:p w:rsidR="005D6801" w:rsidRPr="00737E7A" w:rsidRDefault="005D6801" w:rsidP="00D84A7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vMerge/>
          </w:tcPr>
          <w:p w:rsidR="005D6801" w:rsidRPr="00737E7A" w:rsidRDefault="005D6801" w:rsidP="00D84A7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5D6801" w:rsidRPr="00737E7A" w:rsidTr="00D84A7F">
        <w:trPr>
          <w:trHeight w:val="833"/>
        </w:trPr>
        <w:tc>
          <w:tcPr>
            <w:tcW w:w="595" w:type="dxa"/>
            <w:hideMark/>
          </w:tcPr>
          <w:p w:rsidR="005D6801" w:rsidRPr="00147FC8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1" w:type="dxa"/>
            <w:hideMark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A08">
              <w:rPr>
                <w:rFonts w:ascii="Times New Roman" w:hAnsi="Times New Roman"/>
                <w:sz w:val="24"/>
                <w:szCs w:val="28"/>
              </w:rPr>
              <w:t>Количество экстремистских организаций на территории городского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Кинель</w:t>
            </w:r>
          </w:p>
        </w:tc>
        <w:tc>
          <w:tcPr>
            <w:tcW w:w="567" w:type="dxa"/>
            <w:hideMark/>
          </w:tcPr>
          <w:p w:rsidR="005D6801" w:rsidRPr="00147FC8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hideMark/>
          </w:tcPr>
          <w:p w:rsidR="005D6801" w:rsidRPr="00147FC8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D6801" w:rsidRPr="00147FC8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D6801" w:rsidRPr="00147FC8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275EB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D6801" w:rsidRPr="00147FC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6801" w:rsidRPr="00737E7A" w:rsidTr="00D84A7F">
        <w:trPr>
          <w:trHeight w:val="1115"/>
        </w:trPr>
        <w:tc>
          <w:tcPr>
            <w:tcW w:w="595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1" w:type="dxa"/>
            <w:shd w:val="clear" w:color="auto" w:fill="auto"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A08">
              <w:rPr>
                <w:rFonts w:ascii="Times New Roman" w:hAnsi="Times New Roman"/>
                <w:sz w:val="24"/>
                <w:szCs w:val="28"/>
              </w:rPr>
              <w:t>Количество фактов подготовки и совершения террористических актов на территории городского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Кинель</w:t>
            </w:r>
          </w:p>
        </w:tc>
        <w:tc>
          <w:tcPr>
            <w:tcW w:w="567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275EB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D6801" w:rsidRPr="00737E7A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6801" w:rsidRPr="00737E7A" w:rsidTr="00D84A7F">
        <w:trPr>
          <w:trHeight w:val="1115"/>
        </w:trPr>
        <w:tc>
          <w:tcPr>
            <w:tcW w:w="595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1" w:type="dxa"/>
            <w:shd w:val="clear" w:color="auto" w:fill="auto"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приобретенных арочных стационарных или переносных металлодетекторов для мест массового пребывания людей</w:t>
            </w:r>
          </w:p>
        </w:tc>
        <w:tc>
          <w:tcPr>
            <w:tcW w:w="567" w:type="dxa"/>
            <w:shd w:val="clear" w:color="auto" w:fill="auto"/>
          </w:tcPr>
          <w:p w:rsidR="005D6801" w:rsidRPr="00737E7A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75EB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D6801" w:rsidRPr="00737E7A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финансировались</w:t>
            </w:r>
          </w:p>
        </w:tc>
      </w:tr>
      <w:tr w:rsidR="005D6801" w:rsidRPr="00737E7A" w:rsidTr="00D84A7F">
        <w:trPr>
          <w:trHeight w:val="279"/>
        </w:trPr>
        <w:tc>
          <w:tcPr>
            <w:tcW w:w="595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shd w:val="clear" w:color="auto" w:fill="auto"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A08">
              <w:rPr>
                <w:rFonts w:ascii="Times New Roman" w:hAnsi="Times New Roman"/>
                <w:sz w:val="24"/>
                <w:szCs w:val="28"/>
              </w:rPr>
              <w:t>Количество приобретенных и установленных систем видеоаппаратуры наружного и внутреннего наблюдения в структурных подразделениях (детски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BA7A08">
              <w:rPr>
                <w:rFonts w:ascii="Times New Roman" w:hAnsi="Times New Roman"/>
                <w:sz w:val="24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BA7A08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8"/>
              </w:rPr>
              <w:t>ГБОУ СОШ</w:t>
            </w:r>
            <w:r w:rsidRPr="00BA7A08">
              <w:rPr>
                <w:rFonts w:ascii="Times New Roman" w:hAnsi="Times New Roman"/>
                <w:sz w:val="24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Кинель</w:t>
            </w:r>
          </w:p>
        </w:tc>
        <w:tc>
          <w:tcPr>
            <w:tcW w:w="567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E7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75EB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801" w:rsidRPr="00737E7A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финансировались</w:t>
            </w:r>
          </w:p>
        </w:tc>
      </w:tr>
      <w:tr w:rsidR="005D6801" w:rsidRPr="00737E7A" w:rsidTr="00D84A7F">
        <w:trPr>
          <w:trHeight w:val="850"/>
        </w:trPr>
        <w:tc>
          <w:tcPr>
            <w:tcW w:w="595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1" w:type="dxa"/>
            <w:shd w:val="clear" w:color="auto" w:fill="auto"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A08">
              <w:rPr>
                <w:rFonts w:ascii="Times New Roman" w:hAnsi="Times New Roman"/>
                <w:sz w:val="24"/>
                <w:szCs w:val="28"/>
              </w:rPr>
              <w:t>Количество изготовленных и распространенных памяток, буклетов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BA7A08">
              <w:rPr>
                <w:rFonts w:ascii="Times New Roman" w:hAnsi="Times New Roman"/>
                <w:sz w:val="24"/>
                <w:szCs w:val="28"/>
              </w:rPr>
              <w:t>содержащих разъяснения и рекомендации по действиям при угрозе и совершении терактов и противодействию экстремизма</w:t>
            </w:r>
          </w:p>
        </w:tc>
        <w:tc>
          <w:tcPr>
            <w:tcW w:w="567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275EB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D6801" w:rsidRPr="005E7C66" w:rsidRDefault="005D6801" w:rsidP="00D8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АТК г.о. Кинель по информированию населения, направленному на обеспечение безопасности</w:t>
            </w:r>
          </w:p>
        </w:tc>
      </w:tr>
      <w:tr w:rsidR="005D6801" w:rsidRPr="00737E7A" w:rsidTr="00D84A7F">
        <w:trPr>
          <w:trHeight w:val="1457"/>
        </w:trPr>
        <w:tc>
          <w:tcPr>
            <w:tcW w:w="595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shd w:val="clear" w:color="auto" w:fill="auto"/>
          </w:tcPr>
          <w:p w:rsidR="005D6801" w:rsidRPr="00BA7A08" w:rsidRDefault="005D6801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A08">
              <w:rPr>
                <w:rFonts w:ascii="Times New Roman" w:hAnsi="Times New Roman"/>
                <w:sz w:val="24"/>
                <w:szCs w:val="28"/>
              </w:rPr>
              <w:t>Количество размещенных в СМИ профилактических статей,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</w:t>
            </w:r>
          </w:p>
        </w:tc>
        <w:tc>
          <w:tcPr>
            <w:tcW w:w="567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D6801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6801" w:rsidRPr="005E7C66" w:rsidRDefault="005D6801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275EB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D6801" w:rsidRPr="005E7C66" w:rsidRDefault="005D6801" w:rsidP="00D8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АТК г.о. Кинель по информированию населения, направленному на обеспечение безопасности</w:t>
            </w:r>
          </w:p>
        </w:tc>
      </w:tr>
      <w:tr w:rsidR="00275EB6" w:rsidRPr="00737E7A" w:rsidTr="00D84A7F">
        <w:trPr>
          <w:trHeight w:val="1457"/>
        </w:trPr>
        <w:tc>
          <w:tcPr>
            <w:tcW w:w="595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shd w:val="clear" w:color="auto" w:fill="auto"/>
          </w:tcPr>
          <w:p w:rsidR="00275EB6" w:rsidRPr="00BA7A08" w:rsidRDefault="00275EB6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приобретенных фан-барьеров для обеспечения безопасности при проведении массовых мероприятий</w:t>
            </w:r>
          </w:p>
        </w:tc>
        <w:tc>
          <w:tcPr>
            <w:tcW w:w="567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:rsidR="00275EB6" w:rsidRPr="005E7C66" w:rsidRDefault="00275EB6" w:rsidP="00BC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АТК г.о. Кинель по информированию населения, направленному на обеспечение безопасности</w:t>
            </w:r>
          </w:p>
        </w:tc>
      </w:tr>
      <w:tr w:rsidR="00275EB6" w:rsidRPr="00737E7A" w:rsidTr="00D84A7F">
        <w:trPr>
          <w:trHeight w:val="900"/>
        </w:trPr>
        <w:tc>
          <w:tcPr>
            <w:tcW w:w="595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всем показателям (индикаторам)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5EB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5EB6" w:rsidRPr="005E7C66" w:rsidRDefault="00275EB6" w:rsidP="00D8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2126" w:type="dxa"/>
          </w:tcPr>
          <w:p w:rsidR="00275EB6" w:rsidRDefault="00275EB6" w:rsidP="00D8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801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Степень достижения целевых показателей программы в 20</w:t>
      </w:r>
      <w:r>
        <w:rPr>
          <w:rFonts w:ascii="Times New Roman" w:hAnsi="Times New Roman" w:cs="Times New Roman"/>
          <w:sz w:val="28"/>
          <w:szCs w:val="26"/>
        </w:rPr>
        <w:t>23</w:t>
      </w:r>
      <w:r w:rsidRPr="00A222EA">
        <w:rPr>
          <w:rFonts w:ascii="Times New Roman" w:hAnsi="Times New Roman" w:cs="Times New Roman"/>
          <w:sz w:val="28"/>
          <w:szCs w:val="26"/>
        </w:rPr>
        <w:t xml:space="preserve"> году составила </w:t>
      </w:r>
      <w:r w:rsidR="00275EB6">
        <w:rPr>
          <w:rFonts w:ascii="Times New Roman" w:hAnsi="Times New Roman" w:cs="Times New Roman"/>
          <w:sz w:val="28"/>
          <w:szCs w:val="26"/>
        </w:rPr>
        <w:t>153,6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222EA">
        <w:rPr>
          <w:rFonts w:ascii="Times New Roman" w:hAnsi="Times New Roman" w:cs="Times New Roman"/>
          <w:sz w:val="28"/>
          <w:szCs w:val="26"/>
        </w:rPr>
        <w:t>%.</w:t>
      </w: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Таким образом, в соответствии с методикой оценки эффективности реализации муниципальных программ, учитывая степень достижения плановых значений индикаторов, эффективность реализации Программы признается высокой.</w:t>
      </w: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>4.3. Перечень мероприятий, выполненных не в полном объеме и не выполненных (с указание</w:t>
      </w:r>
      <w:r>
        <w:rPr>
          <w:rFonts w:ascii="Times New Roman" w:hAnsi="Times New Roman" w:cs="Times New Roman"/>
          <w:b/>
          <w:i/>
          <w:sz w:val="28"/>
          <w:szCs w:val="26"/>
        </w:rPr>
        <w:t>м причин) в установленные сроки</w:t>
      </w: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В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A222EA">
        <w:rPr>
          <w:rFonts w:ascii="Times New Roman" w:hAnsi="Times New Roman" w:cs="Times New Roman"/>
          <w:sz w:val="28"/>
          <w:szCs w:val="26"/>
        </w:rPr>
        <w:t xml:space="preserve"> году запланирова</w:t>
      </w:r>
      <w:r>
        <w:rPr>
          <w:rFonts w:ascii="Times New Roman" w:hAnsi="Times New Roman" w:cs="Times New Roman"/>
          <w:sz w:val="28"/>
          <w:szCs w:val="26"/>
        </w:rPr>
        <w:t>н</w:t>
      </w:r>
      <w:r w:rsidRPr="00A222EA">
        <w:rPr>
          <w:rFonts w:ascii="Times New Roman" w:hAnsi="Times New Roman" w:cs="Times New Roman"/>
          <w:sz w:val="28"/>
          <w:szCs w:val="26"/>
        </w:rPr>
        <w:t>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A222EA">
        <w:rPr>
          <w:rFonts w:ascii="Times New Roman" w:hAnsi="Times New Roman" w:cs="Times New Roman"/>
          <w:sz w:val="28"/>
          <w:szCs w:val="26"/>
        </w:rPr>
        <w:t xml:space="preserve"> мероприятия </w:t>
      </w:r>
      <w:r>
        <w:rPr>
          <w:rFonts w:ascii="Times New Roman" w:hAnsi="Times New Roman" w:cs="Times New Roman"/>
          <w:sz w:val="28"/>
          <w:szCs w:val="26"/>
        </w:rPr>
        <w:t>выполнены в полном объеме</w:t>
      </w:r>
      <w:r w:rsidRPr="00A222EA">
        <w:rPr>
          <w:rFonts w:ascii="Times New Roman" w:hAnsi="Times New Roman" w:cs="Times New Roman"/>
          <w:sz w:val="28"/>
          <w:szCs w:val="26"/>
        </w:rPr>
        <w:t>.</w:t>
      </w: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 xml:space="preserve"> 4.4. Анализ факторов, повлиявших на ход реализации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муниципальной программы</w:t>
      </w:r>
    </w:p>
    <w:p w:rsidR="005D6801" w:rsidRPr="00A222EA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Основными факторами, положительно повлиявшими на ход реализации Программы в отчетном году, являются: своевременное поступление бюджетных средств, что позволило в полном объеме и в установленные сроки профинансировать запланированные мероприятия.</w:t>
      </w:r>
    </w:p>
    <w:p w:rsidR="005D6801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5D6801" w:rsidRDefault="005D6801" w:rsidP="005D680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>4.5. Данные о бюджетных ассигнований и иных средствах, направленных на выполнение мероприятий, а также освоенных в ходе реализации муниципальной программы (подпрограммы) (по форме, представленной в таб</w:t>
      </w:r>
      <w:r>
        <w:rPr>
          <w:rFonts w:ascii="Times New Roman" w:hAnsi="Times New Roman" w:cs="Times New Roman"/>
          <w:b/>
          <w:i/>
          <w:sz w:val="28"/>
          <w:szCs w:val="26"/>
        </w:rPr>
        <w:t>лице 2)</w:t>
      </w:r>
    </w:p>
    <w:p w:rsidR="00334DE8" w:rsidRDefault="00334DE8" w:rsidP="005D6801">
      <w:pPr>
        <w:pStyle w:val="ac"/>
        <w:jc w:val="center"/>
        <w:rPr>
          <w:rFonts w:ascii="Times New Roman" w:hAnsi="Times New Roman" w:cs="Times New Roman"/>
          <w:sz w:val="28"/>
          <w:szCs w:val="26"/>
        </w:rPr>
        <w:sectPr w:rsidR="00334DE8" w:rsidSect="00334DE8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86112E" w:rsidRDefault="00334DE8" w:rsidP="00334DE8">
      <w:pPr>
        <w:pStyle w:val="ac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:rsidR="00334DE8" w:rsidRDefault="00334DE8" w:rsidP="00334DE8">
      <w:pPr>
        <w:pStyle w:val="ac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финансировании мероприятий муниципальной программы городского округа Кинель Самарской области за 2023 год</w:t>
      </w:r>
    </w:p>
    <w:tbl>
      <w:tblPr>
        <w:tblStyle w:val="a9"/>
        <w:tblW w:w="16019" w:type="dxa"/>
        <w:tblInd w:w="-318" w:type="dxa"/>
        <w:tblLayout w:type="fixed"/>
        <w:tblLook w:val="04A0"/>
      </w:tblPr>
      <w:tblGrid>
        <w:gridCol w:w="710"/>
        <w:gridCol w:w="2268"/>
        <w:gridCol w:w="1417"/>
        <w:gridCol w:w="993"/>
        <w:gridCol w:w="850"/>
        <w:gridCol w:w="1276"/>
        <w:gridCol w:w="1134"/>
        <w:gridCol w:w="992"/>
        <w:gridCol w:w="851"/>
        <w:gridCol w:w="1275"/>
        <w:gridCol w:w="993"/>
        <w:gridCol w:w="992"/>
        <w:gridCol w:w="1276"/>
        <w:gridCol w:w="992"/>
      </w:tblGrid>
      <w:tr w:rsidR="00334DE8" w:rsidRPr="00334DE8" w:rsidTr="008D093E">
        <w:trPr>
          <w:trHeight w:val="645"/>
        </w:trPr>
        <w:tc>
          <w:tcPr>
            <w:tcW w:w="16019" w:type="dxa"/>
            <w:gridSpan w:val="14"/>
            <w:hideMark/>
          </w:tcPr>
          <w:p w:rsidR="00334DE8" w:rsidRPr="00334DE8" w:rsidRDefault="008D093E" w:rsidP="008D093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RANGE!A1:W7"/>
            <w:bookmarkEnd w:id="1"/>
            <w:r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334DE8" w:rsidRPr="00334DE8">
              <w:rPr>
                <w:rFonts w:ascii="Times New Roman" w:hAnsi="Times New Roman"/>
                <w:sz w:val="26"/>
                <w:szCs w:val="26"/>
              </w:rPr>
              <w:t>Профилактика терроризма и экстремизма, минимизация последствий проявлений терроризма и экстремизма в границах городского округа Кинель Сама</w:t>
            </w:r>
            <w:r>
              <w:rPr>
                <w:rFonts w:ascii="Times New Roman" w:hAnsi="Times New Roman"/>
                <w:sz w:val="26"/>
                <w:szCs w:val="26"/>
              </w:rPr>
              <w:t>рской области на 2020-2024 годы»</w:t>
            </w:r>
            <w:r w:rsidR="00334DE8" w:rsidRPr="00334DE8">
              <w:rPr>
                <w:rFonts w:ascii="Times New Roman" w:hAnsi="Times New Roman"/>
                <w:sz w:val="26"/>
                <w:szCs w:val="26"/>
              </w:rPr>
              <w:t>, утверждена постановление администрации городского округа Кинель Самарской области от 31 декабря 2019 года № 3822 (в редакции от 29 декабря 2023 года № 3790)</w:t>
            </w:r>
          </w:p>
        </w:tc>
      </w:tr>
      <w:tr w:rsidR="008D093E" w:rsidRPr="00334DE8" w:rsidTr="008D093E">
        <w:trPr>
          <w:trHeight w:val="1290"/>
        </w:trPr>
        <w:tc>
          <w:tcPr>
            <w:tcW w:w="710" w:type="dxa"/>
            <w:vMerge w:val="restart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8D093E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пункта по Программе</w:t>
            </w:r>
          </w:p>
        </w:tc>
        <w:tc>
          <w:tcPr>
            <w:tcW w:w="1417" w:type="dxa"/>
            <w:vMerge w:val="restart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4253" w:type="dxa"/>
            <w:gridSpan w:val="4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План по Программе (тыс. рублей),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указывается в целом по Программе и по каждому финансовому году</w:t>
            </w:r>
          </w:p>
        </w:tc>
        <w:tc>
          <w:tcPr>
            <w:tcW w:w="4111" w:type="dxa"/>
            <w:gridSpan w:val="4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Факт по Программе (тыс. рублей),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указывается в целом по Программе и по каждому финансовому году</w:t>
            </w:r>
          </w:p>
        </w:tc>
        <w:tc>
          <w:tcPr>
            <w:tcW w:w="3260" w:type="dxa"/>
            <w:gridSpan w:val="3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Эффективность финансовых расходов (факт / план х 100)</w:t>
            </w:r>
          </w:p>
        </w:tc>
      </w:tr>
      <w:tr w:rsidR="008D093E" w:rsidRPr="00334DE8" w:rsidTr="008D093E">
        <w:trPr>
          <w:trHeight w:val="1635"/>
        </w:trPr>
        <w:tc>
          <w:tcPr>
            <w:tcW w:w="710" w:type="dxa"/>
            <w:vMerge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средств бюджета городского округа</w:t>
            </w:r>
          </w:p>
        </w:tc>
        <w:tc>
          <w:tcPr>
            <w:tcW w:w="1134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иных источников</w:t>
            </w:r>
          </w:p>
        </w:tc>
        <w:tc>
          <w:tcPr>
            <w:tcW w:w="992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средств бюджета городского округа</w:t>
            </w:r>
          </w:p>
        </w:tc>
        <w:tc>
          <w:tcPr>
            <w:tcW w:w="993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иных источников</w:t>
            </w:r>
          </w:p>
        </w:tc>
        <w:tc>
          <w:tcPr>
            <w:tcW w:w="992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средств бюджета городского округа</w:t>
            </w:r>
          </w:p>
        </w:tc>
        <w:tc>
          <w:tcPr>
            <w:tcW w:w="992" w:type="dxa"/>
            <w:hideMark/>
          </w:tcPr>
          <w:p w:rsidR="008D093E" w:rsidRPr="00334DE8" w:rsidRDefault="008D093E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за счет иных источников</w:t>
            </w:r>
          </w:p>
        </w:tc>
      </w:tr>
      <w:tr w:rsidR="008D093E" w:rsidRPr="00334DE8" w:rsidTr="008D093E">
        <w:trPr>
          <w:trHeight w:val="315"/>
        </w:trPr>
        <w:tc>
          <w:tcPr>
            <w:tcW w:w="710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8D093E" w:rsidRPr="00334DE8" w:rsidTr="008D093E">
        <w:trPr>
          <w:trHeight w:val="1005"/>
        </w:trPr>
        <w:tc>
          <w:tcPr>
            <w:tcW w:w="710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hideMark/>
          </w:tcPr>
          <w:p w:rsidR="00334DE8" w:rsidRPr="00334DE8" w:rsidRDefault="00334DE8" w:rsidP="008D093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13. Поставка мобильных металлических барьеров для обеспечения безопасности при проведении массовых мероприятий</w:t>
            </w:r>
          </w:p>
        </w:tc>
        <w:tc>
          <w:tcPr>
            <w:tcW w:w="1417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Отдел по делам ГО и ЧС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850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1134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851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1275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DE8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D093E" w:rsidRPr="00334DE8" w:rsidTr="008D093E">
        <w:trPr>
          <w:trHeight w:val="315"/>
        </w:trPr>
        <w:tc>
          <w:tcPr>
            <w:tcW w:w="4395" w:type="dxa"/>
            <w:gridSpan w:val="3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850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1134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851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1275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119,0</w:t>
            </w:r>
          </w:p>
        </w:tc>
        <w:tc>
          <w:tcPr>
            <w:tcW w:w="993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276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92" w:type="dxa"/>
            <w:hideMark/>
          </w:tcPr>
          <w:p w:rsidR="00334DE8" w:rsidRPr="00334DE8" w:rsidRDefault="00334DE8" w:rsidP="008D093E">
            <w:pPr>
              <w:pStyle w:val="ac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4DE8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</w:tbl>
    <w:p w:rsidR="00334DE8" w:rsidRDefault="00334DE8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D093E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  <w:sectPr w:rsidR="008D093E" w:rsidSect="00334DE8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8D093E" w:rsidRPr="005373A9" w:rsidRDefault="008D093E" w:rsidP="008D093E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5373A9">
        <w:rPr>
          <w:rFonts w:ascii="Times New Roman" w:hAnsi="Times New Roman"/>
          <w:sz w:val="28"/>
          <w:szCs w:val="26"/>
        </w:rPr>
        <w:lastRenderedPageBreak/>
        <w:t xml:space="preserve">Предусмотренные объемы бюджетного финансирования в целом по Программе составили </w:t>
      </w:r>
      <w:r>
        <w:rPr>
          <w:rFonts w:ascii="Times New Roman" w:hAnsi="Times New Roman"/>
          <w:sz w:val="28"/>
          <w:szCs w:val="28"/>
        </w:rPr>
        <w:t>119,0</w:t>
      </w:r>
      <w:r>
        <w:rPr>
          <w:rFonts w:ascii="Times New Roman" w:hAnsi="Times New Roman"/>
        </w:rPr>
        <w:t xml:space="preserve"> </w:t>
      </w:r>
      <w:r w:rsidRPr="005373A9">
        <w:rPr>
          <w:rFonts w:ascii="Times New Roman" w:hAnsi="Times New Roman"/>
          <w:sz w:val="28"/>
          <w:szCs w:val="26"/>
        </w:rPr>
        <w:t xml:space="preserve">тыс. рублей, фактически </w:t>
      </w:r>
      <w:r>
        <w:rPr>
          <w:rFonts w:ascii="Times New Roman" w:hAnsi="Times New Roman"/>
          <w:sz w:val="28"/>
          <w:szCs w:val="26"/>
        </w:rPr>
        <w:t xml:space="preserve">освоено </w:t>
      </w:r>
      <w:r>
        <w:rPr>
          <w:rFonts w:ascii="Times New Roman" w:hAnsi="Times New Roman"/>
          <w:sz w:val="28"/>
          <w:szCs w:val="28"/>
        </w:rPr>
        <w:t>119,0</w:t>
      </w:r>
      <w:r w:rsidRPr="005373A9">
        <w:rPr>
          <w:rFonts w:ascii="Times New Roman" w:hAnsi="Times New Roman"/>
          <w:sz w:val="28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6"/>
        </w:rPr>
        <w:t>100%. Денежные средства освоены в полном объеме.</w:t>
      </w:r>
    </w:p>
    <w:p w:rsidR="008D093E" w:rsidRDefault="008D093E" w:rsidP="008D093E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5373A9">
        <w:rPr>
          <w:rFonts w:ascii="Times New Roman" w:hAnsi="Times New Roman"/>
          <w:sz w:val="28"/>
          <w:szCs w:val="26"/>
        </w:rPr>
        <w:t>редства бюджета городского</w:t>
      </w:r>
      <w:r>
        <w:rPr>
          <w:rFonts w:ascii="Times New Roman" w:hAnsi="Times New Roman"/>
          <w:sz w:val="28"/>
          <w:szCs w:val="26"/>
        </w:rPr>
        <w:t xml:space="preserve"> округа </w:t>
      </w:r>
      <w:r w:rsidRPr="005373A9">
        <w:rPr>
          <w:rFonts w:ascii="Times New Roman" w:hAnsi="Times New Roman"/>
          <w:sz w:val="28"/>
          <w:szCs w:val="26"/>
        </w:rPr>
        <w:t xml:space="preserve">составили </w:t>
      </w:r>
      <w:r>
        <w:rPr>
          <w:rFonts w:ascii="Times New Roman" w:hAnsi="Times New Roman"/>
          <w:sz w:val="28"/>
          <w:szCs w:val="26"/>
        </w:rPr>
        <w:t>119,0</w:t>
      </w:r>
      <w:r w:rsidRPr="005373A9">
        <w:rPr>
          <w:rFonts w:ascii="Times New Roman" w:hAnsi="Times New Roman"/>
          <w:sz w:val="28"/>
          <w:szCs w:val="26"/>
        </w:rPr>
        <w:t xml:space="preserve"> тыс. рублей, фактически </w:t>
      </w:r>
      <w:r>
        <w:rPr>
          <w:rFonts w:ascii="Times New Roman" w:hAnsi="Times New Roman"/>
          <w:sz w:val="28"/>
          <w:szCs w:val="26"/>
        </w:rPr>
        <w:t>освоено</w:t>
      </w:r>
      <w:r w:rsidRPr="005373A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119,0 </w:t>
      </w:r>
      <w:r w:rsidRPr="005373A9">
        <w:rPr>
          <w:rFonts w:ascii="Times New Roman" w:hAnsi="Times New Roman"/>
          <w:sz w:val="28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6"/>
        </w:rPr>
        <w:t>100 %</w:t>
      </w:r>
      <w:r w:rsidRPr="005373A9">
        <w:rPr>
          <w:rFonts w:ascii="Times New Roman" w:hAnsi="Times New Roman"/>
          <w:sz w:val="28"/>
          <w:szCs w:val="26"/>
        </w:rPr>
        <w:t>.</w:t>
      </w:r>
    </w:p>
    <w:p w:rsidR="008D093E" w:rsidRPr="005E6F37" w:rsidRDefault="008D093E" w:rsidP="008D093E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Средства из иных источников финансирования не привлекались.</w:t>
      </w:r>
    </w:p>
    <w:p w:rsidR="008D093E" w:rsidRPr="005373A9" w:rsidRDefault="008D093E" w:rsidP="008D093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6"/>
        </w:rPr>
      </w:pPr>
      <w:r w:rsidRPr="005373A9">
        <w:rPr>
          <w:rFonts w:ascii="Times New Roman" w:hAnsi="Times New Roman"/>
          <w:b/>
          <w:i/>
          <w:sz w:val="28"/>
          <w:szCs w:val="26"/>
        </w:rPr>
        <w:t>4.6. Предложения о дальнейшей реализации муниципальной про</w:t>
      </w:r>
      <w:r>
        <w:rPr>
          <w:rFonts w:ascii="Times New Roman" w:hAnsi="Times New Roman"/>
          <w:b/>
          <w:i/>
          <w:sz w:val="28"/>
          <w:szCs w:val="26"/>
        </w:rPr>
        <w:t>граммы</w:t>
      </w:r>
    </w:p>
    <w:p w:rsidR="008D093E" w:rsidRPr="005373A9" w:rsidRDefault="008D093E" w:rsidP="008D093E">
      <w:pPr>
        <w:spacing w:after="0"/>
        <w:ind w:firstLine="567"/>
        <w:jc w:val="both"/>
        <w:rPr>
          <w:rStyle w:val="ae"/>
          <w:sz w:val="28"/>
          <w:szCs w:val="26"/>
        </w:rPr>
      </w:pPr>
      <w:r w:rsidRPr="005373A9">
        <w:rPr>
          <w:rFonts w:ascii="Times New Roman" w:hAnsi="Times New Roman"/>
          <w:sz w:val="28"/>
          <w:szCs w:val="26"/>
        </w:rPr>
        <w:t>С учетом выполнения основных мероприятий и высокой степени достижения ожидаемых результатов реализации муниципальной программы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в 202</w:t>
      </w:r>
      <w:r>
        <w:rPr>
          <w:rFonts w:ascii="Times New Roman" w:hAnsi="Times New Roman"/>
          <w:sz w:val="28"/>
          <w:szCs w:val="26"/>
        </w:rPr>
        <w:t>3</w:t>
      </w:r>
      <w:r w:rsidRPr="005373A9">
        <w:rPr>
          <w:rFonts w:ascii="Times New Roman" w:hAnsi="Times New Roman"/>
          <w:sz w:val="28"/>
          <w:szCs w:val="26"/>
        </w:rPr>
        <w:t xml:space="preserve"> году считаем целесообразным продолжить реализацию Программы.</w:t>
      </w:r>
    </w:p>
    <w:p w:rsidR="008D093E" w:rsidRPr="00A222EA" w:rsidRDefault="008D093E" w:rsidP="008D093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8D093E" w:rsidRPr="00334DE8" w:rsidRDefault="008D093E" w:rsidP="00334D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sectPr w:rsidR="008D093E" w:rsidRPr="00334DE8" w:rsidSect="008D093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42" w:rsidRDefault="00D41842" w:rsidP="001622FA">
      <w:pPr>
        <w:spacing w:after="0" w:line="240" w:lineRule="auto"/>
      </w:pPr>
      <w:r>
        <w:separator/>
      </w:r>
    </w:p>
  </w:endnote>
  <w:endnote w:type="continuationSeparator" w:id="1">
    <w:p w:rsidR="00D41842" w:rsidRDefault="00D41842" w:rsidP="001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42" w:rsidRDefault="00D41842" w:rsidP="001622FA">
      <w:pPr>
        <w:spacing w:after="0" w:line="240" w:lineRule="auto"/>
      </w:pPr>
      <w:r>
        <w:separator/>
      </w:r>
    </w:p>
  </w:footnote>
  <w:footnote w:type="continuationSeparator" w:id="1">
    <w:p w:rsidR="00D41842" w:rsidRDefault="00D41842" w:rsidP="0016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CB5"/>
    <w:multiLevelType w:val="hybridMultilevel"/>
    <w:tmpl w:val="1B365C10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>
    <w:nsid w:val="47EA3128"/>
    <w:multiLevelType w:val="hybridMultilevel"/>
    <w:tmpl w:val="46AA37D4"/>
    <w:lvl w:ilvl="0" w:tplc="3D429082">
      <w:start w:val="1"/>
      <w:numFmt w:val="decimal"/>
      <w:lvlText w:val="%1."/>
      <w:lvlJc w:val="left"/>
      <w:pPr>
        <w:ind w:left="1953" w:hanging="124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64536"/>
    <w:multiLevelType w:val="hybridMultilevel"/>
    <w:tmpl w:val="2E2CD26E"/>
    <w:lvl w:ilvl="0" w:tplc="A712D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D45"/>
    <w:rsid w:val="000047CD"/>
    <w:rsid w:val="00012E6E"/>
    <w:rsid w:val="0003211E"/>
    <w:rsid w:val="00034D8F"/>
    <w:rsid w:val="00044B20"/>
    <w:rsid w:val="00054A53"/>
    <w:rsid w:val="000579F6"/>
    <w:rsid w:val="0009070A"/>
    <w:rsid w:val="0009369E"/>
    <w:rsid w:val="00154CBF"/>
    <w:rsid w:val="001622FA"/>
    <w:rsid w:val="00162E04"/>
    <w:rsid w:val="0017016D"/>
    <w:rsid w:val="00180D7D"/>
    <w:rsid w:val="0019442D"/>
    <w:rsid w:val="00196B59"/>
    <w:rsid w:val="001A601A"/>
    <w:rsid w:val="001E2FCE"/>
    <w:rsid w:val="00203BE7"/>
    <w:rsid w:val="00213E80"/>
    <w:rsid w:val="00232152"/>
    <w:rsid w:val="00253E21"/>
    <w:rsid w:val="00261030"/>
    <w:rsid w:val="00275EB6"/>
    <w:rsid w:val="002901AB"/>
    <w:rsid w:val="002957EF"/>
    <w:rsid w:val="002A5C43"/>
    <w:rsid w:val="002B2971"/>
    <w:rsid w:val="002E37CD"/>
    <w:rsid w:val="003223CE"/>
    <w:rsid w:val="00331F2B"/>
    <w:rsid w:val="00334DE8"/>
    <w:rsid w:val="003924F7"/>
    <w:rsid w:val="003A243E"/>
    <w:rsid w:val="003B357E"/>
    <w:rsid w:val="003B7F61"/>
    <w:rsid w:val="003C1BB1"/>
    <w:rsid w:val="003E12FF"/>
    <w:rsid w:val="00433F78"/>
    <w:rsid w:val="00444A95"/>
    <w:rsid w:val="00460464"/>
    <w:rsid w:val="004A2CDB"/>
    <w:rsid w:val="004A42D4"/>
    <w:rsid w:val="004B1214"/>
    <w:rsid w:val="004B73B2"/>
    <w:rsid w:val="004B77A1"/>
    <w:rsid w:val="004F7674"/>
    <w:rsid w:val="00501C4F"/>
    <w:rsid w:val="005105A5"/>
    <w:rsid w:val="00514FEF"/>
    <w:rsid w:val="00521918"/>
    <w:rsid w:val="00526531"/>
    <w:rsid w:val="0054528C"/>
    <w:rsid w:val="00556FC3"/>
    <w:rsid w:val="0058049E"/>
    <w:rsid w:val="00596B57"/>
    <w:rsid w:val="005C586D"/>
    <w:rsid w:val="005D04C1"/>
    <w:rsid w:val="005D6801"/>
    <w:rsid w:val="0060624C"/>
    <w:rsid w:val="006221CC"/>
    <w:rsid w:val="00632CBC"/>
    <w:rsid w:val="00642398"/>
    <w:rsid w:val="00646A6E"/>
    <w:rsid w:val="00683B58"/>
    <w:rsid w:val="006D168B"/>
    <w:rsid w:val="006E1365"/>
    <w:rsid w:val="006E4478"/>
    <w:rsid w:val="006E73EB"/>
    <w:rsid w:val="00732764"/>
    <w:rsid w:val="00752A17"/>
    <w:rsid w:val="00763A9B"/>
    <w:rsid w:val="00771AD4"/>
    <w:rsid w:val="007E4E08"/>
    <w:rsid w:val="00802D80"/>
    <w:rsid w:val="008515C3"/>
    <w:rsid w:val="0086112E"/>
    <w:rsid w:val="00871F2D"/>
    <w:rsid w:val="008A42FB"/>
    <w:rsid w:val="008B19D2"/>
    <w:rsid w:val="008B3757"/>
    <w:rsid w:val="008C72ED"/>
    <w:rsid w:val="008D093E"/>
    <w:rsid w:val="00904B9A"/>
    <w:rsid w:val="0091616C"/>
    <w:rsid w:val="00921677"/>
    <w:rsid w:val="00941AA6"/>
    <w:rsid w:val="0094324A"/>
    <w:rsid w:val="00946D63"/>
    <w:rsid w:val="0096056B"/>
    <w:rsid w:val="009841D7"/>
    <w:rsid w:val="00994FE1"/>
    <w:rsid w:val="00A167A8"/>
    <w:rsid w:val="00A83C8A"/>
    <w:rsid w:val="00AA7DC5"/>
    <w:rsid w:val="00AC007C"/>
    <w:rsid w:val="00AD1DF1"/>
    <w:rsid w:val="00AD7075"/>
    <w:rsid w:val="00AE08AF"/>
    <w:rsid w:val="00AF58C8"/>
    <w:rsid w:val="00B33858"/>
    <w:rsid w:val="00B403AA"/>
    <w:rsid w:val="00B503C6"/>
    <w:rsid w:val="00B571D3"/>
    <w:rsid w:val="00B72FEE"/>
    <w:rsid w:val="00BD3869"/>
    <w:rsid w:val="00BE2520"/>
    <w:rsid w:val="00BE2770"/>
    <w:rsid w:val="00BE3327"/>
    <w:rsid w:val="00C00AC8"/>
    <w:rsid w:val="00C05A19"/>
    <w:rsid w:val="00C53E2D"/>
    <w:rsid w:val="00C655B4"/>
    <w:rsid w:val="00CA3CCB"/>
    <w:rsid w:val="00CB1DEF"/>
    <w:rsid w:val="00CC4C4F"/>
    <w:rsid w:val="00CD3559"/>
    <w:rsid w:val="00D26B5D"/>
    <w:rsid w:val="00D276AD"/>
    <w:rsid w:val="00D41842"/>
    <w:rsid w:val="00D977A1"/>
    <w:rsid w:val="00DA120C"/>
    <w:rsid w:val="00DB665F"/>
    <w:rsid w:val="00DD2B70"/>
    <w:rsid w:val="00DE10E9"/>
    <w:rsid w:val="00E177EB"/>
    <w:rsid w:val="00E205A2"/>
    <w:rsid w:val="00E564B6"/>
    <w:rsid w:val="00E73ADC"/>
    <w:rsid w:val="00E845C2"/>
    <w:rsid w:val="00E84D0C"/>
    <w:rsid w:val="00E91D45"/>
    <w:rsid w:val="00E96CB3"/>
    <w:rsid w:val="00EA4223"/>
    <w:rsid w:val="00EB3EDD"/>
    <w:rsid w:val="00EC4B3D"/>
    <w:rsid w:val="00EC7A82"/>
    <w:rsid w:val="00ED55C2"/>
    <w:rsid w:val="00EE387A"/>
    <w:rsid w:val="00F27977"/>
    <w:rsid w:val="00F30EE8"/>
    <w:rsid w:val="00F31120"/>
    <w:rsid w:val="00F40DD6"/>
    <w:rsid w:val="00F43307"/>
    <w:rsid w:val="00F478BF"/>
    <w:rsid w:val="00F76F2A"/>
    <w:rsid w:val="00F976DD"/>
    <w:rsid w:val="00FA5E0A"/>
    <w:rsid w:val="00FB3B69"/>
    <w:rsid w:val="00FE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1D4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aliases w:val="ТЗ список,Абзац списка литеральный,Булет1,1Булет,it_List1,Нумерованый список,Bullet List,FooterText,numbered,SL_Абзац списка"/>
    <w:basedOn w:val="a"/>
    <w:link w:val="a4"/>
    <w:uiPriority w:val="34"/>
    <w:qFormat/>
    <w:rsid w:val="00B571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E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C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611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Булет1 Знак,1Булет Знак,it_List1 Знак,Нумерованый список Знак,Bullet List Знак,FooterText Знак,numbered Знак,SL_Абзац списка Знак"/>
    <w:link w:val="a3"/>
    <w:uiPriority w:val="34"/>
    <w:locked/>
    <w:rsid w:val="0086112E"/>
    <w:rPr>
      <w:rFonts w:ascii="Calibri" w:eastAsia="Times New Roman" w:hAnsi="Calibri" w:cs="Times New Roman"/>
      <w:lang w:eastAsia="ru-RU"/>
    </w:rPr>
  </w:style>
  <w:style w:type="paragraph" w:styleId="ad">
    <w:name w:val="Normal Indent"/>
    <w:basedOn w:val="a"/>
    <w:rsid w:val="0086112E"/>
    <w:pPr>
      <w:spacing w:after="0" w:line="240" w:lineRule="auto"/>
      <w:ind w:left="708"/>
    </w:pPr>
    <w:rPr>
      <w:rFonts w:ascii="Times New Roman" w:hAnsi="Times New Roman"/>
      <w:sz w:val="28"/>
      <w:szCs w:val="20"/>
    </w:rPr>
  </w:style>
  <w:style w:type="character" w:styleId="ae">
    <w:name w:val="Intense Reference"/>
    <w:basedOn w:val="a0"/>
    <w:uiPriority w:val="32"/>
    <w:qFormat/>
    <w:rsid w:val="0086112E"/>
    <w:rPr>
      <w:b/>
      <w:bCs/>
      <w:smallCaps/>
      <w:color w:val="C0504D" w:themeColor="accent2"/>
      <w:spacing w:val="5"/>
      <w:u w:val="single"/>
    </w:rPr>
  </w:style>
  <w:style w:type="paragraph" w:styleId="2">
    <w:name w:val="Body Text 2"/>
    <w:basedOn w:val="a"/>
    <w:link w:val="20"/>
    <w:rsid w:val="00334DE8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34D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4EC0-E25B-439A-A4DC-0CFFEB89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PrimeBox</cp:lastModifiedBy>
  <cp:revision>14</cp:revision>
  <cp:lastPrinted>2023-01-24T05:26:00Z</cp:lastPrinted>
  <dcterms:created xsi:type="dcterms:W3CDTF">2023-01-19T10:09:00Z</dcterms:created>
  <dcterms:modified xsi:type="dcterms:W3CDTF">2024-03-29T05:24:00Z</dcterms:modified>
</cp:coreProperties>
</file>